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val="en-US" w:eastAsia="zh-CN"/>
        </w:rPr>
        <w:t xml:space="preserve">  2021年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  <w:t>孟州市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eastAsia="zh-CN"/>
        </w:rPr>
        <w:t>全市政府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  <w:t>预算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</w:rPr>
        <w:t>说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</w:rPr>
        <w:t>明</w:t>
      </w:r>
    </w:p>
    <w:p>
      <w:pPr>
        <w:pStyle w:val="2"/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 xml:space="preserve"> 孟州市</w:t>
      </w: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一般公共预算收</w:t>
      </w: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eastAsia="zh-CN"/>
        </w:rPr>
        <w:t>支</w:t>
      </w: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 xml:space="preserve">    一、地方一般公共预算总收入安排情况</w:t>
      </w:r>
    </w:p>
    <w:p>
      <w:pPr>
        <w:spacing w:line="600" w:lineRule="exact"/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eastAsia="zh-CN"/>
        </w:rPr>
        <w:t>（一）地方一般公共预算收入安排情况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一般公共预算收入安排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174200</w:t>
      </w:r>
      <w:r>
        <w:rPr>
          <w:rFonts w:hint="eastAsia" w:ascii="仿宋" w:hAnsi="仿宋" w:eastAsia="仿宋"/>
          <w:sz w:val="32"/>
          <w:szCs w:val="32"/>
          <w:highlight w:val="none"/>
        </w:rPr>
        <w:t>万元，较上年完成数增长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  <w:highlight w:val="none"/>
        </w:rPr>
        <w:t>.5%；其中：税收收入安排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122000</w:t>
      </w:r>
      <w:r>
        <w:rPr>
          <w:rFonts w:hint="eastAsia" w:ascii="仿宋" w:hAnsi="仿宋" w:eastAsia="仿宋"/>
          <w:sz w:val="32"/>
          <w:szCs w:val="32"/>
          <w:highlight w:val="none"/>
        </w:rPr>
        <w:t>万元，较上年完成数增长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11.5</w:t>
      </w:r>
      <w:r>
        <w:rPr>
          <w:rFonts w:hint="eastAsia" w:ascii="仿宋" w:hAnsi="仿宋" w:eastAsia="仿宋"/>
          <w:sz w:val="32"/>
          <w:szCs w:val="32"/>
          <w:highlight w:val="none"/>
        </w:rPr>
        <w:t>%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；非税收入安排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52200万元，较上年完成数下降3.6%。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主要税种安排情况：</w:t>
      </w:r>
    </w:p>
    <w:p>
      <w:pPr>
        <w:numPr>
          <w:ilvl w:val="0"/>
          <w:numId w:val="2"/>
        </w:numPr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增值税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28700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较上年决算（执行数）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增长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5.4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/>
          <w:color w:val="00B0F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/>
          <w:color w:val="FF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</w:rPr>
        <w:t>企业所得税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6000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较上年决算（执行数）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增长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0.8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%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>
      <w:pPr>
        <w:numPr>
          <w:ilvl w:val="0"/>
          <w:numId w:val="3"/>
        </w:numPr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个人所得税3300万元，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较上年决算（执行数）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增长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35.7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。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增长的主要原因是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val="en-US" w:eastAsia="zh-CN"/>
        </w:rPr>
        <w:t>2021年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飞孟公司预计缴纳利息、分红所得，增加收入。</w:t>
      </w:r>
    </w:p>
    <w:p>
      <w:pPr>
        <w:numPr>
          <w:ilvl w:val="0"/>
          <w:numId w:val="3"/>
        </w:numPr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城市建设维护税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3800万元，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较上年决算（执行数）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增长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0.4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3"/>
        </w:numPr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环保税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200万元，较上年决算（执行数）增长18.3%。</w:t>
      </w:r>
    </w:p>
    <w:p>
      <w:pPr>
        <w:numPr>
          <w:ilvl w:val="0"/>
          <w:numId w:val="3"/>
        </w:numPr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房产税、城镇土地使用税、契税、车船税等其他税种收入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val="en-US" w:eastAsia="zh-CN"/>
        </w:rPr>
        <w:t>80000万元，较上年决算（执行数）增长14.5%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rPr>
          <w:rFonts w:hint="eastAsia" w:ascii="楷体" w:hAnsi="楷体" w:eastAsia="楷体" w:cs="楷体"/>
          <w:b w:val="0"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00B0F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color w:val="00B0F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（二）上级补助收入项目情况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20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年预算上级补助收入安排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84804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万元，其中：返还性收入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7747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万元、一般性转移支付收入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74027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万元、专项转移支付收入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3030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1.返还性收入7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747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万元，其中：所得税基数返还收入1921万元、增值税收入返还4129万元、消费税返还228万元、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增值税五五分享税收返还收入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368万元、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成品油税费改革税收返还收入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1101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2.一般性转移支付收入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74027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万元，其中：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均衡性转移支付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11914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县级基本财力保障机制奖补资金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3922万元、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结算补助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2306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、产粮大县奖励资金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1618万元、固定数额补助9060万元、贫困地区转移支付191万元、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  <w:lang w:eastAsia="zh-CN"/>
        </w:rPr>
        <w:t>公共安全共同财政事权转移支付收入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  <w:lang w:val="en-US" w:eastAsia="zh-CN"/>
        </w:rPr>
        <w:t>944万元、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教育共同财政事权转移支付收入4583万元、文化旅游体育与传媒共同财政事权转移支付收入753万元、社会保障和就业共同财政事权转移支付收14277万元、医疗卫生共同财政事权转移支付收入17971万元、农林水共同财政事权转移支付收入5830万元、住房保障共同财政事权转移支付收入658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3．专项转移支付收入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3030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：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一般公共服务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教育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160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万元、文化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旅游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体育与传媒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77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卫生健康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131万元、城乡社区1093万元、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农林水事务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704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、资源勘探信息等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864万元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。</w:t>
      </w:r>
    </w:p>
    <w:p>
      <w:pPr>
        <w:spacing w:line="600" w:lineRule="exact"/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（三）其他收入情况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预算稳定调节基金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2038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万元，上年结转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1455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，调入资金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6000万元。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20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年，地方级一般公共预算收入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174200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万元，加上上级补助、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预算稳定平衡基金、上年结转等综合测算，一般公共预算收入总额为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268497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二、20</w:t>
      </w: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年孟州市一般公共预算支出情况的说明</w:t>
      </w:r>
    </w:p>
    <w:p>
      <w:pPr>
        <w:pStyle w:val="3"/>
        <w:spacing w:before="0" w:beforeAutospacing="0" w:after="0" w:afterAutospacing="0"/>
        <w:ind w:firstLine="64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20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年一般公共预算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总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268497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万元，其中：地方级支出安排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242877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83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，主要原因是：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2021年预算提前告知上级补助84804万元，比2020年决算（执行）数中上级补助143259万元减少58455万元。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上解支出安排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25620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万元。</w:t>
      </w:r>
    </w:p>
    <w:p>
      <w:pPr>
        <w:pStyle w:val="3"/>
        <w:spacing w:before="0" w:beforeAutospacing="0" w:after="0" w:afterAutospacing="0"/>
        <w:ind w:firstLine="640"/>
        <w:jc w:val="both"/>
        <w:rPr>
          <w:rFonts w:hint="eastAsia" w:ascii="楷体" w:hAnsi="楷体" w:eastAsia="楷体" w:cs="楷体"/>
          <w:b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highlight w:val="none"/>
          <w:lang w:eastAsia="zh-CN"/>
        </w:rPr>
        <w:t>（一）地方级主要支出安排情况</w:t>
      </w:r>
    </w:p>
    <w:p>
      <w:pPr>
        <w:pStyle w:val="3"/>
        <w:spacing w:before="0" w:beforeAutospacing="0" w:after="0" w:afterAutospacing="0"/>
        <w:ind w:firstLine="64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一般公共预算支出242877万元，为上年执行数的83%。其中：人员和公用经费等基本支出84376万元，占比34.7%；项目支出158501万元，占比65.3%。主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要支出功能科目是：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1、一般公共服务支出安排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54858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100.5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2、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国防支出安排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175万元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公共安全支出安排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8595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67.8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，减少的主要原因是法院、检察院上划省级，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2021年市本级不再安排支出；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、教育支出安排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37748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87.7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、科学技术支出安排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2564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29.2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、文化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旅游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体育与传媒支出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1802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86.3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、社会保障和就业支出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38474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94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、卫生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健康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28503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72.6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、节能环保支出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2130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、城乡社区事务支出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13558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135.8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、农林水支出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32188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79.8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、交通运输支出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4693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43.3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资源勘探信息等事务支出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864万元；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14、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商业服务业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142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15.9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自然资源海洋气象等事务支出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1144万元，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82.7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16、住房保障支出4856万元，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59.5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17、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粮油物资储备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358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13.2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1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、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灾害防治及应急管理支出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866万元，占上年决算（执行）数的93.6%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；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17、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债务付息支出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5484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100.9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482" w:firstLineChars="150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（二）上解支出</w:t>
      </w:r>
    </w:p>
    <w:p>
      <w:pPr>
        <w:pStyle w:val="6"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 w:bidi="ar-SA"/>
        </w:rPr>
        <w:t>2021年预计上解支出25620万元，主要为原体制上解2201万元，固定及基数性上解6263万元，其他省市税收分成、地税部门增量等各项上解17156万元。</w:t>
      </w:r>
    </w:p>
    <w:p>
      <w:pPr>
        <w:pStyle w:val="2"/>
        <w:rPr>
          <w:rFonts w:hint="eastAsia"/>
          <w:highlight w:val="none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FF0000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color w:val="FF0000"/>
          <w:sz w:val="32"/>
          <w:szCs w:val="32"/>
          <w:highlight w:val="none"/>
          <w:shd w:val="clear" w:color="auto" w:fill="FFFFFF"/>
          <w:lang w:val="en-US" w:eastAsia="zh-CN"/>
        </w:rPr>
        <w:t xml:space="preserve">  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孟州市政府性基金预算收支情况说明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0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  <w:t>20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  <w:t>年政府性基金收入情况说明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基金预算全口径收入安排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50255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较上年决算（执行数）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下降56.6%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，原因主要是：20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年上级债券转贷新增专项收入安排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56300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抗疫特别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国债9600万元，增加支出65900万元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。其中：</w:t>
      </w:r>
    </w:p>
    <w:p>
      <w:pPr>
        <w:widowControl/>
        <w:autoSpaceDN w:val="0"/>
        <w:spacing w:line="560" w:lineRule="atLeast"/>
        <w:ind w:firstLine="643" w:firstLineChars="200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（一）地方级预算收入安排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43700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万元，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eastAsia="zh-CN"/>
        </w:rPr>
        <w:t>较上年决算（执行数）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增长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1.8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%。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主要收入项目是：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国有土地出让价款收入安排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41000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万元；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农业土地开发资金收入安排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万元；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  <w:lang w:val="en-US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3、城市基础设施配套费收入安排1500万元；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污水处理费收入安排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700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（二）上级提前告知转移支付补助收入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5398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主要是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大中型水库移民后期扶持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4901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国有土地使用权出让金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215万元、水利移民扶持专项168万元、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彩票公益金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114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（三）上年结转收入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1157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万元。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</w:rPr>
        <w:t>、20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</w:rPr>
        <w:t>年政府性基金支出情况说明</w:t>
      </w:r>
    </w:p>
    <w:p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基金预算支出：20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政府性基金预算总支出安排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50255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万元，其中：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地方级支出安排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40650万元，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eastAsia="zh-CN"/>
        </w:rPr>
        <w:t>占上年决算（执行）数的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val="en-US" w:eastAsia="zh-CN"/>
        </w:rPr>
        <w:t>38.2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eastAsia="zh-CN"/>
        </w:rPr>
        <w:t>；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</w:rPr>
        <w:t>上解支出安排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eastAsia="zh-CN"/>
        </w:rPr>
        <w:t>；调出资金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val="en-US" w:eastAsia="zh-CN"/>
        </w:rPr>
        <w:t>6000万元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。主要支出科目是：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 xml:space="preserve">    1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、社会保障和就业支出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4901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万元，主要用于大中型水库移民后期扶持。</w:t>
      </w:r>
    </w:p>
    <w:p>
      <w:pPr>
        <w:widowControl/>
        <w:autoSpaceDN w:val="0"/>
        <w:spacing w:line="560" w:lineRule="atLeast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 xml:space="preserve">    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、城乡社区事务支出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31593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万元，主要用于：征地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拆迁补偿、被征地农民、公共租赁住房、农业土地开发、污水处理费等项目。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农林水支出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168万元，主要用于水利移民扶持项目。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其他支出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114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万元，主要用于：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社会福利、残疾人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事业。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、债务付息支出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3874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FF0000"/>
          <w:sz w:val="32"/>
          <w:szCs w:val="32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  <w:t>第三章    孟州市社会保险基金预算收支情况说明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 w:firstLine="660"/>
        <w:textAlignment w:val="auto"/>
        <w:outlineLvl w:val="9"/>
        <w:rPr>
          <w:rFonts w:hint="eastAsia" w:ascii="仿宋" w:hAnsi="仿宋" w:eastAsia="仿宋"/>
          <w:color w:val="FF0000"/>
          <w:sz w:val="32"/>
          <w:szCs w:val="32"/>
          <w:highlight w:val="none"/>
          <w:lang w:eastAsia="zh-CN"/>
        </w:rPr>
      </w:pPr>
    </w:p>
    <w:p>
      <w:pPr>
        <w:pStyle w:val="3"/>
        <w:spacing w:beforeAutospacing="0" w:afterAutospacing="0" w:line="500" w:lineRule="exact"/>
        <w:ind w:firstLine="480"/>
        <w:jc w:val="both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一、202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年我市社会保险基金预算收支安排情况</w:t>
      </w:r>
    </w:p>
    <w:p>
      <w:pPr>
        <w:pStyle w:val="3"/>
        <w:spacing w:beforeAutospacing="0" w:afterAutospacing="0"/>
        <w:ind w:firstLine="480"/>
        <w:jc w:val="both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202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年，我市社会保险基金预算收入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75496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万元，社会保险基金预算支出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66026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万元，预计当年收支结余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9470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万元，年末滚存结余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64573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万元。</w:t>
      </w:r>
    </w:p>
    <w:p>
      <w:pPr>
        <w:pStyle w:val="3"/>
        <w:spacing w:beforeAutospacing="0" w:afterAutospacing="0"/>
        <w:ind w:firstLine="480"/>
        <w:jc w:val="both"/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</w:rPr>
        <w:t>（一）社会保险基金收入情况</w:t>
      </w:r>
    </w:p>
    <w:p>
      <w:pPr>
        <w:pStyle w:val="3"/>
        <w:spacing w:beforeAutospacing="0" w:afterAutospacing="0"/>
        <w:ind w:firstLine="480"/>
        <w:jc w:val="both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社会保险基金预算收入主要包括：保险缴费收入、利息收入、财政补贴收入等。202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年预计收入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75496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万元，分项是：</w:t>
      </w:r>
    </w:p>
    <w:p>
      <w:pPr>
        <w:pStyle w:val="3"/>
        <w:spacing w:beforeAutospacing="0" w:afterAutospacing="0"/>
        <w:ind w:firstLine="480"/>
        <w:jc w:val="both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1、城乡居民基本养老保险基金预算收入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15557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万元；</w:t>
      </w:r>
    </w:p>
    <w:p>
      <w:pPr>
        <w:pStyle w:val="3"/>
        <w:spacing w:beforeAutospacing="0" w:afterAutospacing="0"/>
        <w:ind w:firstLine="480"/>
        <w:jc w:val="both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2、机关事业单位基本养老保险基金预算收入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19071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元；</w:t>
      </w:r>
    </w:p>
    <w:p>
      <w:pPr>
        <w:pStyle w:val="3"/>
        <w:spacing w:beforeAutospacing="0" w:afterAutospacing="0"/>
        <w:ind w:firstLine="480"/>
        <w:jc w:val="both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3、职工基本医疗保险基金预算收入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13107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万元；</w:t>
      </w:r>
    </w:p>
    <w:p>
      <w:pPr>
        <w:pStyle w:val="3"/>
        <w:spacing w:beforeAutospacing="0" w:afterAutospacing="0"/>
        <w:ind w:firstLine="480"/>
        <w:jc w:val="both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4、城乡居民基本医疗保险基金预算收入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27761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万元；</w:t>
      </w:r>
    </w:p>
    <w:p>
      <w:pPr>
        <w:pStyle w:val="3"/>
        <w:spacing w:beforeAutospacing="0" w:afterAutospacing="0"/>
        <w:ind w:firstLine="480"/>
        <w:jc w:val="both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</w:rPr>
        <w:t>（二）社会保险基金支出情况</w:t>
      </w:r>
    </w:p>
    <w:p>
      <w:pPr>
        <w:pStyle w:val="3"/>
        <w:spacing w:beforeAutospacing="0" w:afterAutospacing="0"/>
        <w:ind w:firstLine="480"/>
        <w:jc w:val="both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社会保险支出主要包括：社会保险待遇支出、其他支出、转移支出、上解支出，202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年预计支出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66026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万元，支出项目是：</w:t>
      </w:r>
    </w:p>
    <w:p>
      <w:pPr>
        <w:pStyle w:val="3"/>
        <w:spacing w:beforeAutospacing="0" w:afterAutospacing="0"/>
        <w:ind w:firstLine="480"/>
        <w:jc w:val="both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1、城乡居民基本养老保险基金预算支出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11170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万元；</w:t>
      </w:r>
    </w:p>
    <w:p>
      <w:pPr>
        <w:pStyle w:val="3"/>
        <w:spacing w:beforeAutospacing="0" w:afterAutospacing="0"/>
        <w:ind w:firstLine="480"/>
        <w:jc w:val="both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2、机关事业单位基本养老保险基金预算支出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17922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万元；</w:t>
      </w:r>
    </w:p>
    <w:p>
      <w:pPr>
        <w:pStyle w:val="3"/>
        <w:spacing w:beforeAutospacing="0" w:afterAutospacing="0"/>
        <w:ind w:firstLine="480"/>
        <w:jc w:val="both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3、职工基本医疗保险基金预算支出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9753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万元；</w:t>
      </w:r>
    </w:p>
    <w:p>
      <w:pPr>
        <w:pStyle w:val="3"/>
        <w:spacing w:beforeAutospacing="0" w:afterAutospacing="0"/>
        <w:ind w:firstLine="480"/>
        <w:jc w:val="both"/>
        <w:rPr>
          <w:rFonts w:hint="eastAsia" w:eastAsia="仿宋" w:asciiTheme="majorEastAsia" w:hAnsiTheme="majorEastAsia" w:cstheme="majorEastAsia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4、城乡居民基本医疗保险基金预算支出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27181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。</w:t>
      </w: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highlight w:val="none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4"/>
        </w:num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 xml:space="preserve"> 孟州市国有资本经营预算收支情况说明</w:t>
      </w:r>
    </w:p>
    <w:p>
      <w:pPr>
        <w:pStyle w:val="2"/>
        <w:numPr>
          <w:ilvl w:val="0"/>
          <w:numId w:val="0"/>
        </w:numPr>
        <w:ind w:leftChars="200" w:right="0" w:rightChars="0"/>
        <w:rPr>
          <w:rFonts w:hint="eastAsia"/>
          <w:highlight w:val="none"/>
          <w:lang w:val="en-US" w:eastAsia="zh-CN"/>
        </w:rPr>
      </w:pPr>
    </w:p>
    <w:p>
      <w:pPr>
        <w:pStyle w:val="6"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  <w:t>2021年孟州市国有资本经营预算收支均为9万元，上级转移支付收入为9万元，主要用于国有企业退休人员社会化管理补助支出。</w:t>
      </w:r>
    </w:p>
    <w:p>
      <w:pPr>
        <w:pStyle w:val="6"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</w:pPr>
    </w:p>
    <w:p>
      <w:pPr>
        <w:numPr>
          <w:ilvl w:val="0"/>
          <w:numId w:val="5"/>
        </w:numPr>
        <w:spacing w:line="60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 xml:space="preserve">  孟州市“三公”经费预算安排情况说明</w:t>
      </w:r>
    </w:p>
    <w:p>
      <w:pPr>
        <w:pStyle w:val="2"/>
        <w:numPr>
          <w:ilvl w:val="0"/>
          <w:numId w:val="0"/>
        </w:numPr>
        <w:ind w:leftChars="200" w:right="0" w:rightChars="0"/>
        <w:rPr>
          <w:rFonts w:hint="eastAsia"/>
          <w:highlight w:val="none"/>
          <w:lang w:eastAsia="zh-CN"/>
        </w:rPr>
      </w:pPr>
    </w:p>
    <w:p>
      <w:pPr>
        <w:shd w:val="solid" w:color="FFFFFF" w:fill="auto"/>
        <w:autoSpaceDN w:val="0"/>
        <w:spacing w:line="580" w:lineRule="atLeast"/>
        <w:ind w:firstLine="640"/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根据《河南省人民政府办公厅关于进一步深化全省部门预算改革的通知》（豫政办〔2011〕105号）要求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以及焦治办【2013】1号文的精神，以“厉行节约、降低行政成本”为原则，严格控制我市“三公”经费预决算数，同时予以公开，接收社会各界广泛监督。</w:t>
      </w:r>
    </w:p>
    <w:p>
      <w:pPr>
        <w:shd w:val="solid" w:color="FFFFFF" w:fill="auto"/>
        <w:autoSpaceDN w:val="0"/>
        <w:spacing w:line="330" w:lineRule="atLeast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 xml:space="preserve">   经汇总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全市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部门预算，20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21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年一般公共预算安排“三公”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经费支出预算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1101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万元，比上年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下降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3.4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，减少支出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39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万元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。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其中：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因公出国（境）费0万元，与2020年持平。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公务接待安排403万元，比2020年下降1.7%，减少支出7万元，下降主要原因是严格执行八项规定，压缩公务活动接待。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公务用车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购置及运行费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698万元，比2020年下降4.4%,减少支出32万元。其中：车辆购置314万元，比2020年增加5万元,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原因是车改以来，按照公车购置规定，车辆老化需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更新购置公务用车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；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公务用车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运行维护费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384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比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2020年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下降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8.8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,减少支出37万元，主要原因是严格控制使用公务用车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。</w:t>
      </w:r>
    </w:p>
    <w:p>
      <w:pPr>
        <w:pStyle w:val="2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第六章    孟州市政府性债务相关情况说明</w:t>
      </w:r>
    </w:p>
    <w:p>
      <w:pPr>
        <w:pStyle w:val="2"/>
        <w:numPr>
          <w:ilvl w:val="0"/>
          <w:numId w:val="0"/>
        </w:numPr>
        <w:ind w:right="0" w:rightChars="0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截止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2020年末，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我</w:t>
      </w:r>
      <w:r>
        <w:rPr>
          <w:rFonts w:hint="eastAsia" w:ascii="仿宋" w:hAnsi="仿宋" w:eastAsia="仿宋" w:cs="仿宋"/>
          <w:sz w:val="32"/>
          <w:szCs w:val="32"/>
        </w:rPr>
        <w:t>市政府债务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总</w:t>
      </w:r>
      <w:r>
        <w:rPr>
          <w:rFonts w:hint="eastAsia" w:ascii="仿宋" w:hAnsi="仿宋" w:eastAsia="仿宋" w:cs="仿宋"/>
          <w:sz w:val="32"/>
          <w:szCs w:val="32"/>
        </w:rPr>
        <w:t>限额为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314593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sz w:val="32"/>
          <w:szCs w:val="32"/>
        </w:rPr>
        <w:t>元，其中：一般债务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限额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202993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sz w:val="32"/>
          <w:szCs w:val="32"/>
        </w:rPr>
        <w:t>元，专项债务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限额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111600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我市地方政府性债务总规模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268677万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元，其中一般债务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167188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万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元，专项债务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101489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万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元。综上所述，我市地方债务规模严</w:t>
      </w:r>
      <w:r>
        <w:rPr>
          <w:rFonts w:hint="eastAsia" w:ascii="仿宋" w:hAnsi="仿宋" w:eastAsia="仿宋" w:cs="仿宋"/>
          <w:sz w:val="32"/>
          <w:szCs w:val="32"/>
        </w:rPr>
        <w:t>格控制在规定限额之内。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一、一般债务限额余额情况说明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1、2020年末一般债务限额情况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201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上级核定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我市一般债务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总限额为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199193万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2020年当年新增一般债务限额3800万元，2020年末我市一般债务限额为202993万元。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  <w:t>2、2020年末一般债务余额情况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201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年末我市地方政府性一般债务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余额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163445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2020年当年新增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一般债券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16275万元，减去2020年一般债务还本支出12532万元，2020年末我市一般债务余额为167188万元。我市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地方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一般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债务规模严格控制在规定限额之内。</w:t>
      </w:r>
    </w:p>
    <w:p>
      <w:pPr>
        <w:widowControl/>
        <w:autoSpaceDN w:val="0"/>
        <w:spacing w:line="560" w:lineRule="atLeast"/>
        <w:rPr>
          <w:rFonts w:hint="eastAsia" w:ascii="仿宋" w:hAnsi="仿宋" w:eastAsia="仿宋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专项债务限额和余额情况说明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1、2020年末专项债务限额情况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 xml:space="preserve">  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201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上级核定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我市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专项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债务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总限额为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55300万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，加上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2020年当年新增专项债务限额56300万元，2020年末我市专项债务限额为111600万元。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2、2020年末专项债务余额情况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201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</w:rPr>
        <w:t>年末我市地方政府性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专项</w:t>
      </w:r>
      <w:r>
        <w:rPr>
          <w:rFonts w:hint="eastAsia" w:ascii="仿宋" w:hAnsi="仿宋" w:eastAsia="仿宋"/>
          <w:color w:val="auto"/>
          <w:sz w:val="32"/>
          <w:szCs w:val="32"/>
        </w:rPr>
        <w:t>债务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余额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52815</w:t>
      </w:r>
      <w:r>
        <w:rPr>
          <w:rFonts w:hint="eastAsia" w:ascii="仿宋" w:hAnsi="仿宋" w:eastAsia="仿宋"/>
          <w:color w:val="auto"/>
          <w:sz w:val="32"/>
          <w:szCs w:val="32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2020年当年新增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专项债券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56300万元，减去当年还本支出7626万元，2020年末专项债务余额为101489元。我市</w:t>
      </w:r>
      <w:r>
        <w:rPr>
          <w:rFonts w:hint="eastAsia" w:ascii="仿宋" w:hAnsi="仿宋" w:eastAsia="仿宋"/>
          <w:color w:val="auto"/>
          <w:sz w:val="32"/>
          <w:szCs w:val="32"/>
        </w:rPr>
        <w:t>地方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政府专项</w:t>
      </w:r>
      <w:r>
        <w:rPr>
          <w:rFonts w:hint="eastAsia" w:ascii="仿宋" w:hAnsi="仿宋" w:eastAsia="仿宋"/>
          <w:color w:val="auto"/>
          <w:sz w:val="32"/>
          <w:szCs w:val="32"/>
        </w:rPr>
        <w:t>债务规模严格控制在规定限额之内。</w:t>
      </w:r>
      <w:bookmarkStart w:id="0" w:name="_GoBack"/>
      <w:bookmarkEnd w:id="0"/>
    </w:p>
    <w:p>
      <w:pPr>
        <w:pStyle w:val="2"/>
        <w:rPr>
          <w:rFonts w:hint="eastAsia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第七章    孟州市人民政府预算公开附表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>表一：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2021年孟州市一般公共预算收支情况总表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表二：2021年孟州市一般公共预算收入情况表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表三：2021年孟州市一般公共预算支出情况表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表四：2021年孟州市一般公共预算支出明细表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表五：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2021年孟州市基本支出政府经济分类明细表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表六：2021年孟州市一般公共预算收入返还和转移支付情况表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表七:  2021年孟州市政府性基金预算收支总表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表八：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2021年孟州市政府性基金预算收入总表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表九:  2021年孟州市政府性基金预算支出总表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表十：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2021年孟州市政府性基金预算转移支付情况表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表十一：2021年社会保险基金收入预算表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表十二：2021年社会保险基金支出预算表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left="1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表十三：2021年孟州市国有资本经营预算收入情况表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表十四：2021年孟州市国有资本经营预算支出情况表</w:t>
      </w:r>
    </w:p>
    <w:p>
      <w:pPr>
        <w:pStyle w:val="2"/>
        <w:keepNext w:val="0"/>
        <w:keepLines w:val="0"/>
        <w:pageBreakBefore w:val="0"/>
        <w:wordWrap/>
        <w:topLinePunct w:val="0"/>
        <w:autoSpaceDE/>
        <w:bidi w:val="0"/>
        <w:spacing w:before="0" w:after="0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表十五：2021年孟州市国有资本经营转移性收支情况表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kern w:val="0"/>
          <w:sz w:val="32"/>
          <w:szCs w:val="32"/>
          <w:lang w:val="en-US" w:eastAsia="zh-CN"/>
        </w:rPr>
        <w:t>表十六：2021年孟州市“三公”经费安排情况表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表十七：2021年孟州市一般债务限额和余额情况表</w:t>
      </w:r>
    </w:p>
    <w:p>
      <w:pPr>
        <w:keepNext w:val="0"/>
        <w:keepLines w:val="0"/>
        <w:pageBreakBefore w:val="0"/>
        <w:kinsoku w:val="0"/>
        <w:wordWrap/>
        <w:overflowPunct w:val="0"/>
        <w:topLinePunct w:val="0"/>
        <w:autoSpaceDE/>
        <w:bidi w:val="0"/>
        <w:adjustRightInd w:val="0"/>
        <w:snapToGrid w:val="0"/>
        <w:spacing w:line="600" w:lineRule="exact"/>
        <w:ind w:right="521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表十八: 2021年孟州市专项债务限额和余额情况表</w:t>
      </w:r>
    </w:p>
    <w:p>
      <w:pPr>
        <w:pStyle w:val="2"/>
        <w:keepNext w:val="0"/>
        <w:keepLines w:val="0"/>
        <w:pageBreakBefore w:val="0"/>
        <w:wordWrap/>
        <w:topLinePunct w:val="0"/>
        <w:autoSpaceDE/>
        <w:bidi w:val="0"/>
        <w:spacing w:before="0" w:after="0" w:line="600" w:lineRule="exact"/>
        <w:jc w:val="both"/>
        <w:textAlignment w:val="auto"/>
        <w:outlineLvl w:val="9"/>
        <w:rPr>
          <w:rFonts w:hint="eastAsia"/>
          <w:lang w:val="en-US" w:eastAsia="zh-CN"/>
        </w:rPr>
      </w:pPr>
    </w:p>
    <w:sectPr>
      <w:pgSz w:w="11906" w:h="16838"/>
      <w:pgMar w:top="1440" w:right="144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F1AA8"/>
    <w:multiLevelType w:val="singleLevel"/>
    <w:tmpl w:val="5ECF1AA8"/>
    <w:lvl w:ilvl="0" w:tentative="0">
      <w:start w:val="1"/>
      <w:numFmt w:val="chineseCounting"/>
      <w:suff w:val="space"/>
      <w:lvlText w:val="第%1章"/>
      <w:lvlJc w:val="left"/>
    </w:lvl>
  </w:abstractNum>
  <w:abstractNum w:abstractNumId="1">
    <w:nsid w:val="5ED5A545"/>
    <w:multiLevelType w:val="singleLevel"/>
    <w:tmpl w:val="5ED5A545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6061499D"/>
    <w:multiLevelType w:val="singleLevel"/>
    <w:tmpl w:val="6061499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0615EB4"/>
    <w:multiLevelType w:val="singleLevel"/>
    <w:tmpl w:val="60615EB4"/>
    <w:lvl w:ilvl="0" w:tentative="0">
      <w:start w:val="5"/>
      <w:numFmt w:val="chineseCounting"/>
      <w:suff w:val="space"/>
      <w:lvlText w:val="第%1章"/>
      <w:lvlJc w:val="left"/>
    </w:lvl>
  </w:abstractNum>
  <w:abstractNum w:abstractNumId="4">
    <w:nsid w:val="60615EC8"/>
    <w:multiLevelType w:val="singleLevel"/>
    <w:tmpl w:val="60615EC8"/>
    <w:lvl w:ilvl="0" w:tentative="0">
      <w:start w:val="4"/>
      <w:numFmt w:val="chineseCounting"/>
      <w:suff w:val="space"/>
      <w:lvlText w:val="第%1章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43173"/>
    <w:rsid w:val="02E94C90"/>
    <w:rsid w:val="03245CC9"/>
    <w:rsid w:val="099A47BF"/>
    <w:rsid w:val="09DE0604"/>
    <w:rsid w:val="0A2A16A3"/>
    <w:rsid w:val="0AF40469"/>
    <w:rsid w:val="0C793DE3"/>
    <w:rsid w:val="0DCF7188"/>
    <w:rsid w:val="0E206200"/>
    <w:rsid w:val="0F622D2A"/>
    <w:rsid w:val="0F9336A6"/>
    <w:rsid w:val="124F7DA7"/>
    <w:rsid w:val="14D4448D"/>
    <w:rsid w:val="14F405E4"/>
    <w:rsid w:val="1620152F"/>
    <w:rsid w:val="177F4D23"/>
    <w:rsid w:val="18E53215"/>
    <w:rsid w:val="1A3A5F3C"/>
    <w:rsid w:val="1A3D74C1"/>
    <w:rsid w:val="1A954EA6"/>
    <w:rsid w:val="1BF7377F"/>
    <w:rsid w:val="1CA93B54"/>
    <w:rsid w:val="1D19328F"/>
    <w:rsid w:val="1EA3393E"/>
    <w:rsid w:val="1EDD385F"/>
    <w:rsid w:val="1FDD7CEF"/>
    <w:rsid w:val="20071342"/>
    <w:rsid w:val="20256A90"/>
    <w:rsid w:val="20C34870"/>
    <w:rsid w:val="215E4AE2"/>
    <w:rsid w:val="216C778F"/>
    <w:rsid w:val="24A3273B"/>
    <w:rsid w:val="24A678B8"/>
    <w:rsid w:val="25764191"/>
    <w:rsid w:val="2726581F"/>
    <w:rsid w:val="27D20C09"/>
    <w:rsid w:val="27FA12DE"/>
    <w:rsid w:val="28AD70E4"/>
    <w:rsid w:val="294803FE"/>
    <w:rsid w:val="2B8539BD"/>
    <w:rsid w:val="2B907346"/>
    <w:rsid w:val="2C4331E6"/>
    <w:rsid w:val="2C4A1A41"/>
    <w:rsid w:val="2D26469B"/>
    <w:rsid w:val="2DC57BC6"/>
    <w:rsid w:val="2EFA2DE8"/>
    <w:rsid w:val="30B21CEC"/>
    <w:rsid w:val="31DE5565"/>
    <w:rsid w:val="334D4569"/>
    <w:rsid w:val="35605D34"/>
    <w:rsid w:val="35733E82"/>
    <w:rsid w:val="36C43173"/>
    <w:rsid w:val="36F2744E"/>
    <w:rsid w:val="37A852B1"/>
    <w:rsid w:val="39B14056"/>
    <w:rsid w:val="3A032C4B"/>
    <w:rsid w:val="3BAB6A3B"/>
    <w:rsid w:val="3CEA0150"/>
    <w:rsid w:val="3D405F28"/>
    <w:rsid w:val="3E5B4BF4"/>
    <w:rsid w:val="3EBB6A19"/>
    <w:rsid w:val="416E75DC"/>
    <w:rsid w:val="46FD78E0"/>
    <w:rsid w:val="47C2595A"/>
    <w:rsid w:val="48A25503"/>
    <w:rsid w:val="4C0B2484"/>
    <w:rsid w:val="4E0648D2"/>
    <w:rsid w:val="4E8F495B"/>
    <w:rsid w:val="4EDC1E3B"/>
    <w:rsid w:val="501739F6"/>
    <w:rsid w:val="51404248"/>
    <w:rsid w:val="5362780A"/>
    <w:rsid w:val="53B17AD8"/>
    <w:rsid w:val="54D26144"/>
    <w:rsid w:val="58E660B7"/>
    <w:rsid w:val="59293748"/>
    <w:rsid w:val="5AD1683E"/>
    <w:rsid w:val="5BEB7851"/>
    <w:rsid w:val="5BED235E"/>
    <w:rsid w:val="5C8239C9"/>
    <w:rsid w:val="5E2C5EEC"/>
    <w:rsid w:val="60386957"/>
    <w:rsid w:val="61D63DD9"/>
    <w:rsid w:val="641E0553"/>
    <w:rsid w:val="653A6C3E"/>
    <w:rsid w:val="65CF63A9"/>
    <w:rsid w:val="67D0487F"/>
    <w:rsid w:val="684D6B79"/>
    <w:rsid w:val="69C43A35"/>
    <w:rsid w:val="6B2E6E5E"/>
    <w:rsid w:val="6DA63B47"/>
    <w:rsid w:val="6DCA6C71"/>
    <w:rsid w:val="714E4CFD"/>
    <w:rsid w:val="71C202F6"/>
    <w:rsid w:val="728745C7"/>
    <w:rsid w:val="74172F92"/>
    <w:rsid w:val="744352BB"/>
    <w:rsid w:val="75723D10"/>
    <w:rsid w:val="771B1325"/>
    <w:rsid w:val="772824F9"/>
    <w:rsid w:val="7A0623A8"/>
    <w:rsid w:val="7C066472"/>
    <w:rsid w:val="7C5C2B99"/>
    <w:rsid w:val="7CD545EA"/>
    <w:rsid w:val="7D8D113E"/>
    <w:rsid w:val="7F3752D0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2"/>
      <w:sz w:val="32"/>
      <w:szCs w:val="32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6">
    <w:name w:val="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2018-10-14T13:02:00Z</dcterms:created>
  <dc:creator>User</dc:creator>
  <cp:lastModifiedBy>Administrator</cp:lastModifiedBy>
  <cp:lastPrinted>2020-06-01T07:11:00Z</cp:lastPrinted>
  <dcterms:modified xsi:type="dcterms:W3CDTF">2021-03-31T01:47:11Z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